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45D529C6"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D40F4C">
        <w:rPr>
          <w:rFonts w:cs="Arial"/>
          <w:sz w:val="24"/>
          <w:szCs w:val="24"/>
        </w:rPr>
        <w:t>6bis</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AB53BC">
        <w:rPr>
          <w:rFonts w:cs="Arial"/>
          <w:noProof w:val="0"/>
          <w:sz w:val="24"/>
        </w:rPr>
        <w:t>04227</w:t>
      </w:r>
    </w:p>
    <w:p w14:paraId="321D1244" w14:textId="7CFEAD47" w:rsidR="0011347F" w:rsidRPr="00AB081E" w:rsidRDefault="0011347F" w:rsidP="0011347F">
      <w:pPr>
        <w:pStyle w:val="Header"/>
        <w:tabs>
          <w:tab w:val="right" w:pos="8280"/>
          <w:tab w:val="right" w:pos="9639"/>
        </w:tabs>
        <w:jc w:val="both"/>
        <w:rPr>
          <w:rFonts w:cs="Arial"/>
          <w:sz w:val="24"/>
          <w:szCs w:val="24"/>
        </w:rPr>
      </w:pPr>
      <w:r w:rsidRPr="00AB081E">
        <w:rPr>
          <w:rFonts w:cs="Arial"/>
          <w:sz w:val="24"/>
          <w:szCs w:val="24"/>
        </w:rPr>
        <w:t xml:space="preserve">E-meeting, </w:t>
      </w:r>
      <w:r w:rsidR="00D40F4C">
        <w:rPr>
          <w:rFonts w:cs="Arial"/>
          <w:sz w:val="24"/>
          <w:szCs w:val="24"/>
        </w:rPr>
        <w:t>17</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 xml:space="preserve">– </w:t>
      </w:r>
      <w:r w:rsidR="00D40F4C">
        <w:rPr>
          <w:rFonts w:cs="Arial"/>
          <w:sz w:val="24"/>
          <w:szCs w:val="24"/>
        </w:rPr>
        <w:t>26</w:t>
      </w:r>
      <w:r w:rsidR="00D40F4C" w:rsidRPr="00D40F4C">
        <w:rPr>
          <w:rFonts w:cs="Arial"/>
          <w:sz w:val="24"/>
          <w:szCs w:val="24"/>
          <w:vertAlign w:val="superscript"/>
        </w:rPr>
        <w:t>th</w:t>
      </w:r>
      <w:r w:rsidR="00D40F4C">
        <w:rPr>
          <w:rFonts w:cs="Arial"/>
          <w:sz w:val="24"/>
          <w:szCs w:val="24"/>
        </w:rPr>
        <w:t xml:space="preserve"> April</w:t>
      </w:r>
      <w:r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157A13A1"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303329">
        <w:rPr>
          <w:rFonts w:ascii="Arial" w:hAnsi="Arial" w:cs="Arial"/>
          <w:b/>
          <w:sz w:val="24"/>
        </w:rPr>
        <w:t>5.25.2.</w:t>
      </w:r>
      <w:r w:rsidR="006B0591">
        <w:rPr>
          <w:rFonts w:ascii="Arial" w:hAnsi="Arial" w:cs="Arial"/>
          <w:b/>
          <w:sz w:val="24"/>
        </w:rPr>
        <w:t>3</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8AC6F13"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B51F68" w:rsidRPr="00B51F68">
        <w:rPr>
          <w:rFonts w:ascii="Arial" w:hAnsi="Arial" w:cs="Arial"/>
          <w:b/>
          <w:sz w:val="24"/>
        </w:rPr>
        <w:t>L1</w:t>
      </w:r>
      <w:r w:rsidR="00DA5651">
        <w:rPr>
          <w:rFonts w:ascii="Arial" w:hAnsi="Arial" w:cs="Arial"/>
          <w:b/>
          <w:sz w:val="24"/>
        </w:rPr>
        <w:t>/</w:t>
      </w:r>
      <w:r w:rsidR="00B51F68" w:rsidRPr="00B51F68">
        <w:rPr>
          <w:rFonts w:ascii="Arial" w:hAnsi="Arial" w:cs="Arial"/>
          <w:b/>
          <w:sz w:val="24"/>
        </w:rPr>
        <w:t>L2 inter-cell mobility delay requirements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2972A5B" w14:textId="48616E58" w:rsidR="00E62411" w:rsidRDefault="003C2F62" w:rsidP="00E62411">
      <w:r w:rsidRPr="00536CC1">
        <w:t>In this paper we provide our views on</w:t>
      </w:r>
      <w:r w:rsidR="00F9099D">
        <w:t xml:space="preserve"> principles, </w:t>
      </w:r>
      <w:proofErr w:type="gramStart"/>
      <w:r w:rsidR="00F9099D">
        <w:t>timeline</w:t>
      </w:r>
      <w:proofErr w:type="gramEnd"/>
      <w:r w:rsidR="00F9099D">
        <w:t xml:space="preserve"> and details for L1</w:t>
      </w:r>
      <w:r w:rsidR="002C6096">
        <w:t>/</w:t>
      </w:r>
      <w:r w:rsidR="00F9099D">
        <w:t>L2 inter-cell mobility delay requirements discussions</w:t>
      </w:r>
      <w:r w:rsidR="002A3FC8">
        <w:t>.</w:t>
      </w:r>
    </w:p>
    <w:p w14:paraId="7A73CE75" w14:textId="548A0372" w:rsidR="00EB6DB3" w:rsidRDefault="00EB6DB3" w:rsidP="006850C8">
      <w:pPr>
        <w:pStyle w:val="Heading1"/>
      </w:pPr>
      <w:r>
        <w:t>Discussion</w:t>
      </w:r>
    </w:p>
    <w:p w14:paraId="026DB5DB" w14:textId="11683376" w:rsidR="00182B74" w:rsidRDefault="00163460" w:rsidP="000572F6">
      <w:pPr>
        <w:pStyle w:val="Heading2"/>
        <w:ind w:left="567"/>
      </w:pPr>
      <w:r>
        <w:t>General and Principles</w:t>
      </w:r>
    </w:p>
    <w:p w14:paraId="3C120FD3" w14:textId="3C396CDE" w:rsidR="00B03D94" w:rsidRDefault="00163460" w:rsidP="00EB6DB3">
      <w:r>
        <w:t>In the last meeting, a WF capturing agreements for mobility delay discussions was approved in [1].</w:t>
      </w:r>
    </w:p>
    <w:tbl>
      <w:tblPr>
        <w:tblStyle w:val="TableGrid"/>
        <w:tblW w:w="0" w:type="auto"/>
        <w:tblLook w:val="04A0" w:firstRow="1" w:lastRow="0" w:firstColumn="1" w:lastColumn="0" w:noHBand="0" w:noVBand="1"/>
      </w:tblPr>
      <w:tblGrid>
        <w:gridCol w:w="9629"/>
      </w:tblGrid>
      <w:tr w:rsidR="00B03D94" w:rsidRPr="004536D1" w14:paraId="77867358" w14:textId="77777777" w:rsidTr="00B03D94">
        <w:tc>
          <w:tcPr>
            <w:tcW w:w="9629" w:type="dxa"/>
          </w:tcPr>
          <w:p w14:paraId="4769728B" w14:textId="77777777" w:rsidR="00163460" w:rsidRPr="00163460" w:rsidRDefault="00163460" w:rsidP="00163460">
            <w:pPr>
              <w:spacing w:before="0" w:afterLines="50"/>
              <w:textAlignment w:val="auto"/>
              <w:rPr>
                <w:rFonts w:eastAsia="Times New Roman"/>
                <w:b/>
                <w:u w:val="single"/>
                <w:lang w:eastAsia="en-GB"/>
              </w:rPr>
            </w:pPr>
            <w:r w:rsidRPr="00163460">
              <w:rPr>
                <w:rFonts w:eastAsia="Times New Roman"/>
                <w:b/>
                <w:u w:val="single"/>
                <w:lang w:eastAsia="en-GB"/>
              </w:rPr>
              <w:t>Issue 4-1-1: Whether define cell switch delay requirements for the case “</w:t>
            </w:r>
            <w:proofErr w:type="spellStart"/>
            <w:r w:rsidRPr="00163460">
              <w:rPr>
                <w:rFonts w:eastAsia="Times New Roman"/>
                <w:b/>
                <w:u w:val="single"/>
                <w:lang w:eastAsia="en-GB"/>
              </w:rPr>
              <w:t>PCell</w:t>
            </w:r>
            <w:proofErr w:type="spellEnd"/>
            <w:r w:rsidRPr="00163460">
              <w:rPr>
                <w:rFonts w:eastAsia="Times New Roman"/>
                <w:b/>
                <w:u w:val="single"/>
                <w:lang w:eastAsia="en-GB"/>
              </w:rPr>
              <w:t xml:space="preserve"> change with PSCell change”</w:t>
            </w:r>
          </w:p>
          <w:p w14:paraId="335C223A" w14:textId="77777777" w:rsidR="00163460" w:rsidRPr="00163460" w:rsidRDefault="00163460" w:rsidP="00163460">
            <w:pPr>
              <w:spacing w:before="0"/>
              <w:textAlignment w:val="auto"/>
              <w:rPr>
                <w:rFonts w:eastAsia="DengXian"/>
                <w:bCs/>
                <w:i/>
                <w:iCs/>
                <w:color w:val="4472C4"/>
                <w:lang w:eastAsia="zh-CN"/>
              </w:rPr>
            </w:pPr>
            <w:r w:rsidRPr="00163460">
              <w:rPr>
                <w:rFonts w:eastAsia="DengXian"/>
                <w:bCs/>
                <w:i/>
                <w:iCs/>
                <w:color w:val="4472C4"/>
                <w:lang w:eastAsia="zh-CN"/>
              </w:rPr>
              <w:t>Ad hoc agreement</w:t>
            </w:r>
          </w:p>
          <w:p w14:paraId="7099DBD7" w14:textId="77777777" w:rsidR="00163460" w:rsidRPr="00163460" w:rsidRDefault="00163460" w:rsidP="00163460">
            <w:pPr>
              <w:spacing w:before="0"/>
              <w:textAlignment w:val="auto"/>
              <w:rPr>
                <w:rFonts w:eastAsia="DengXian"/>
                <w:lang w:eastAsia="zh-CN"/>
              </w:rPr>
            </w:pPr>
            <w:r w:rsidRPr="00163460">
              <w:rPr>
                <w:rFonts w:eastAsia="Times New Roman"/>
                <w:b/>
                <w:highlight w:val="green"/>
                <w:lang w:eastAsia="zh-CN"/>
              </w:rPr>
              <w:t>&lt; Agreement &gt;</w:t>
            </w:r>
            <w:r w:rsidRPr="00163460">
              <w:rPr>
                <w:rFonts w:eastAsia="Times New Roman"/>
                <w:highlight w:val="green"/>
                <w:lang w:eastAsia="zh-CN"/>
              </w:rPr>
              <w:t>:</w:t>
            </w:r>
            <w:r w:rsidRPr="00163460">
              <w:rPr>
                <w:rFonts w:eastAsia="Times New Roman"/>
                <w:lang w:eastAsia="zh-CN"/>
              </w:rPr>
              <w:t xml:space="preserve"> </w:t>
            </w:r>
          </w:p>
          <w:p w14:paraId="5993BFF7" w14:textId="77777777" w:rsidR="00163460" w:rsidRPr="00163460" w:rsidRDefault="00163460" w:rsidP="00163460">
            <w:pPr>
              <w:numPr>
                <w:ilvl w:val="1"/>
                <w:numId w:val="28"/>
              </w:numPr>
              <w:overflowPunct/>
              <w:autoSpaceDE/>
              <w:adjustRightInd/>
              <w:spacing w:before="0"/>
              <w:textAlignment w:val="auto"/>
              <w:rPr>
                <w:sz w:val="22"/>
                <w:szCs w:val="24"/>
                <w:lang w:val="ru-RU" w:eastAsia="zh-CN"/>
              </w:rPr>
            </w:pPr>
            <w:r w:rsidRPr="00163460">
              <w:rPr>
                <w:sz w:val="22"/>
                <w:szCs w:val="24"/>
                <w:lang w:val="ru-RU" w:eastAsia="zh-CN"/>
              </w:rPr>
              <w:t>Only define requirements for serving cell change within one CG, e.g., not define cell switch delay requirements for the case “PCell change with PSCell change”.</w:t>
            </w:r>
          </w:p>
          <w:p w14:paraId="1438401F" w14:textId="77777777" w:rsidR="00163460" w:rsidRPr="00163460" w:rsidRDefault="00163460" w:rsidP="00163460">
            <w:pPr>
              <w:spacing w:before="0" w:afterLines="50"/>
              <w:textAlignment w:val="auto"/>
              <w:rPr>
                <w:rFonts w:eastAsia="Times New Roman"/>
                <w:b/>
                <w:u w:val="single"/>
                <w:lang w:eastAsia="en-GB"/>
              </w:rPr>
            </w:pPr>
            <w:r w:rsidRPr="00163460">
              <w:rPr>
                <w:rFonts w:eastAsia="Times New Roman"/>
                <w:b/>
                <w:u w:val="single"/>
                <w:lang w:eastAsia="en-GB"/>
              </w:rPr>
              <w:t xml:space="preserve">Issue 4-1-2: </w:t>
            </w:r>
            <w:bookmarkStart w:id="2" w:name="_Hlk127879225"/>
            <w:r w:rsidRPr="00163460">
              <w:rPr>
                <w:rFonts w:eastAsia="Times New Roman"/>
                <w:b/>
                <w:u w:val="single"/>
                <w:lang w:eastAsia="en-GB"/>
              </w:rPr>
              <w:t>Define cell switch delay requirements</w:t>
            </w:r>
            <w:bookmarkEnd w:id="2"/>
            <w:r w:rsidRPr="00163460">
              <w:rPr>
                <w:rFonts w:eastAsia="Times New Roman"/>
                <w:b/>
                <w:u w:val="single"/>
                <w:lang w:eastAsia="en-GB"/>
              </w:rPr>
              <w:t xml:space="preserve"> for </w:t>
            </w:r>
            <w:proofErr w:type="spellStart"/>
            <w:r w:rsidRPr="00163460">
              <w:rPr>
                <w:rFonts w:eastAsia="Times New Roman"/>
                <w:b/>
                <w:u w:val="single"/>
                <w:lang w:eastAsia="en-GB"/>
              </w:rPr>
              <w:t>SpCell</w:t>
            </w:r>
            <w:proofErr w:type="spellEnd"/>
            <w:r w:rsidRPr="00163460">
              <w:rPr>
                <w:rFonts w:eastAsia="Times New Roman"/>
                <w:b/>
                <w:u w:val="single"/>
                <w:lang w:eastAsia="en-GB"/>
              </w:rPr>
              <w:t xml:space="preserve"> change without SCell change</w:t>
            </w:r>
          </w:p>
          <w:p w14:paraId="4D00B37D" w14:textId="77777777" w:rsidR="00163460" w:rsidRPr="00163460" w:rsidRDefault="00163460" w:rsidP="00163460">
            <w:pPr>
              <w:spacing w:before="0" w:afterLines="50"/>
              <w:textAlignment w:val="auto"/>
              <w:rPr>
                <w:rFonts w:eastAsia="DengXian"/>
                <w:i/>
                <w:iCs/>
                <w:color w:val="0070C0"/>
                <w:szCs w:val="24"/>
                <w:lang w:eastAsia="zh-CN"/>
              </w:rPr>
            </w:pPr>
            <w:r w:rsidRPr="00163460">
              <w:rPr>
                <w:rFonts w:eastAsia="Times New Roman"/>
                <w:i/>
                <w:iCs/>
                <w:color w:val="0070C0"/>
                <w:szCs w:val="24"/>
                <w:lang w:eastAsia="zh-CN"/>
              </w:rPr>
              <w:t>Offline agreement</w:t>
            </w:r>
          </w:p>
          <w:p w14:paraId="2EF28E2A" w14:textId="77777777" w:rsidR="00163460" w:rsidRPr="00163460" w:rsidRDefault="00163460" w:rsidP="00163460">
            <w:pPr>
              <w:spacing w:before="0"/>
              <w:textAlignment w:val="auto"/>
              <w:rPr>
                <w:rFonts w:eastAsia="DengXian"/>
                <w:lang w:eastAsia="zh-CN"/>
              </w:rPr>
            </w:pPr>
            <w:r w:rsidRPr="00163460">
              <w:rPr>
                <w:rFonts w:eastAsia="Times New Roman"/>
                <w:b/>
                <w:highlight w:val="green"/>
                <w:lang w:eastAsia="zh-CN"/>
              </w:rPr>
              <w:t>&lt; Agreement &gt;</w:t>
            </w:r>
            <w:r w:rsidRPr="00163460">
              <w:rPr>
                <w:rFonts w:eastAsia="Times New Roman"/>
                <w:highlight w:val="green"/>
                <w:lang w:eastAsia="zh-CN"/>
              </w:rPr>
              <w:t>:</w:t>
            </w:r>
            <w:r w:rsidRPr="00163460">
              <w:rPr>
                <w:rFonts w:eastAsia="Times New Roman"/>
                <w:lang w:eastAsia="zh-CN"/>
              </w:rPr>
              <w:t xml:space="preserve"> </w:t>
            </w:r>
          </w:p>
          <w:p w14:paraId="2A44AD3D" w14:textId="77777777" w:rsidR="00163460" w:rsidRPr="00163460" w:rsidRDefault="00163460" w:rsidP="00163460">
            <w:pPr>
              <w:numPr>
                <w:ilvl w:val="1"/>
                <w:numId w:val="28"/>
              </w:numPr>
              <w:overflowPunct/>
              <w:autoSpaceDE/>
              <w:adjustRightInd/>
              <w:spacing w:before="0"/>
              <w:textAlignment w:val="auto"/>
              <w:rPr>
                <w:sz w:val="22"/>
                <w:szCs w:val="24"/>
                <w:lang w:val="ru-RU" w:eastAsia="zh-CN"/>
              </w:rPr>
            </w:pPr>
            <w:r w:rsidRPr="00163460">
              <w:rPr>
                <w:sz w:val="22"/>
                <w:szCs w:val="24"/>
                <w:lang w:val="ru-RU" w:eastAsia="zh-CN"/>
              </w:rPr>
              <w:t>Define cell switch delay requirements for:</w:t>
            </w:r>
          </w:p>
          <w:p w14:paraId="27B6B7AE" w14:textId="77777777" w:rsidR="00163460" w:rsidRPr="00163460" w:rsidRDefault="00163460" w:rsidP="00163460">
            <w:pPr>
              <w:numPr>
                <w:ilvl w:val="2"/>
                <w:numId w:val="28"/>
              </w:numPr>
              <w:overflowPunct/>
              <w:autoSpaceDE/>
              <w:adjustRightInd/>
              <w:spacing w:before="0"/>
              <w:textAlignment w:val="auto"/>
              <w:rPr>
                <w:sz w:val="22"/>
                <w:szCs w:val="24"/>
                <w:lang w:val="ru-RU" w:eastAsia="zh-CN"/>
              </w:rPr>
            </w:pPr>
            <w:r w:rsidRPr="00163460">
              <w:rPr>
                <w:sz w:val="22"/>
                <w:szCs w:val="24"/>
                <w:lang w:val="ru-RU" w:eastAsia="zh-CN"/>
              </w:rPr>
              <w:t>PCell change without SCell change</w:t>
            </w:r>
          </w:p>
          <w:p w14:paraId="6136346F" w14:textId="02EDE7EC" w:rsidR="00B03D94" w:rsidRPr="00163460" w:rsidRDefault="00163460" w:rsidP="00163460">
            <w:pPr>
              <w:numPr>
                <w:ilvl w:val="2"/>
                <w:numId w:val="28"/>
              </w:numPr>
              <w:overflowPunct/>
              <w:autoSpaceDE/>
              <w:adjustRightInd/>
              <w:spacing w:before="0"/>
              <w:textAlignment w:val="auto"/>
              <w:rPr>
                <w:sz w:val="22"/>
                <w:szCs w:val="24"/>
                <w:lang w:val="ru-RU" w:eastAsia="zh-CN"/>
              </w:rPr>
            </w:pPr>
            <w:r w:rsidRPr="00163460">
              <w:rPr>
                <w:sz w:val="22"/>
                <w:szCs w:val="24"/>
                <w:lang w:val="ru-RU" w:eastAsia="zh-CN"/>
              </w:rPr>
              <w:t>PSCell change without SCell change</w:t>
            </w:r>
          </w:p>
        </w:tc>
      </w:tr>
    </w:tbl>
    <w:p w14:paraId="6CF27EE5" w14:textId="77777777" w:rsidR="00163460" w:rsidRDefault="00163460" w:rsidP="00163460">
      <w:r>
        <w:t>There are several scenarios for cell switch in LTM:</w:t>
      </w:r>
    </w:p>
    <w:p w14:paraId="2DFB0410" w14:textId="33DE90CE" w:rsidR="00163460" w:rsidRDefault="00163460" w:rsidP="00163460">
      <w:pPr>
        <w:pStyle w:val="ListParagraph"/>
        <w:numPr>
          <w:ilvl w:val="0"/>
          <w:numId w:val="29"/>
        </w:numPr>
      </w:pPr>
      <w:r>
        <w:t>Scenario 1: Target PSCell is not current SCell and there is no SCell change</w:t>
      </w:r>
    </w:p>
    <w:p w14:paraId="11D7B0CF" w14:textId="27785CA9" w:rsidR="00163460" w:rsidRDefault="00163460" w:rsidP="00163460">
      <w:pPr>
        <w:pStyle w:val="ListParagraph"/>
        <w:numPr>
          <w:ilvl w:val="0"/>
          <w:numId w:val="29"/>
        </w:numPr>
      </w:pPr>
      <w:r>
        <w:t>Scenario 2: Target PSCell is current SCell and there is no other SCell change</w:t>
      </w:r>
    </w:p>
    <w:p w14:paraId="1AA6A442" w14:textId="470A4B52" w:rsidR="00163460" w:rsidRDefault="00163460" w:rsidP="00163460">
      <w:pPr>
        <w:pStyle w:val="ListParagraph"/>
        <w:numPr>
          <w:ilvl w:val="0"/>
          <w:numId w:val="29"/>
        </w:numPr>
      </w:pPr>
      <w:r>
        <w:t xml:space="preserve">Scenario 3: PSCell change with direct SCell activation </w:t>
      </w:r>
    </w:p>
    <w:p w14:paraId="05F82E27" w14:textId="77777777" w:rsidR="00163460" w:rsidRDefault="00163460" w:rsidP="00163460">
      <w:r>
        <w:t>For Scenario 1, only PSCell change will happen, which is the basic scenario for LTM. Cell switch delay requirement will be defined. Scenario 2 is a special case of Scenario 1 where delay may be further reduced.</w:t>
      </w:r>
    </w:p>
    <w:p w14:paraId="1D0F4E29" w14:textId="7D1B831E" w:rsidR="00163460" w:rsidRDefault="00163460" w:rsidP="00163460">
      <w:r>
        <w:t xml:space="preserve">For scenario 3, we don’t think that we need to define the joint cell switch requirement for this scenario. PSCell cell switch delay is the same as scenario 1. Direct SCell activation delay requirement can be defined independently similarly as legacy. We are open to further discuss whether direct SCell activation is considered or not at first stage. If we need to consider the scenario, there are some differences compared with legacy direct SCell activation, </w:t>
      </w:r>
      <w:proofErr w:type="gramStart"/>
      <w:r>
        <w:t>i.e.</w:t>
      </w:r>
      <w:proofErr w:type="gramEnd"/>
      <w:r>
        <w:t xml:space="preserve"> known condition. In legacy, known condition is defined based L3 measurement report. here, L1 report will be used. </w:t>
      </w:r>
    </w:p>
    <w:p w14:paraId="158AE8F2" w14:textId="12D3269A" w:rsidR="00163460" w:rsidRPr="00E40F00" w:rsidRDefault="00E40F00" w:rsidP="00536CC1">
      <w:pPr>
        <w:rPr>
          <w:b/>
          <w:bCs/>
        </w:rPr>
      </w:pPr>
      <w:r w:rsidRPr="00E40F00">
        <w:rPr>
          <w:b/>
          <w:bCs/>
        </w:rPr>
        <w:t>Proposal 1: Deprioritize PSCell change with direct SCell activation requirements.</w:t>
      </w:r>
    </w:p>
    <w:p w14:paraId="6725F81F" w14:textId="3676D86D" w:rsidR="00060600" w:rsidRDefault="00E40F00" w:rsidP="004B191B">
      <w:pPr>
        <w:pStyle w:val="Heading2"/>
        <w:tabs>
          <w:tab w:val="num" w:pos="567"/>
        </w:tabs>
        <w:ind w:left="567"/>
      </w:pPr>
      <w:r w:rsidRPr="00E40F00">
        <w:t xml:space="preserve">Timeline of cell </w:t>
      </w:r>
      <w:proofErr w:type="spellStart"/>
      <w:r w:rsidRPr="00E40F00">
        <w:t>swith</w:t>
      </w:r>
      <w:proofErr w:type="spellEnd"/>
      <w:r w:rsidRPr="00E40F00">
        <w:t xml:space="preserve"> delay for </w:t>
      </w:r>
      <w:proofErr w:type="spellStart"/>
      <w:r w:rsidRPr="00E40F00">
        <w:t>Pcell</w:t>
      </w:r>
      <w:proofErr w:type="spellEnd"/>
      <w:r w:rsidRPr="00E40F00">
        <w:t>/PSCell</w:t>
      </w:r>
    </w:p>
    <w:p w14:paraId="762A089B" w14:textId="4C343F2C" w:rsidR="00B74A34" w:rsidRDefault="00B74A34" w:rsidP="00060600">
      <w:r>
        <w:t>In the last meeting the starting point and end point for the switch procedure are agreed.</w:t>
      </w:r>
    </w:p>
    <w:tbl>
      <w:tblPr>
        <w:tblStyle w:val="TableGrid"/>
        <w:tblW w:w="0" w:type="auto"/>
        <w:tblLook w:val="04A0" w:firstRow="1" w:lastRow="0" w:firstColumn="1" w:lastColumn="0" w:noHBand="0" w:noVBand="1"/>
      </w:tblPr>
      <w:tblGrid>
        <w:gridCol w:w="9629"/>
      </w:tblGrid>
      <w:tr w:rsidR="00B74A34" w14:paraId="3CD9EB9C" w14:textId="77777777" w:rsidTr="00B74A34">
        <w:tc>
          <w:tcPr>
            <w:tcW w:w="9629" w:type="dxa"/>
          </w:tcPr>
          <w:p w14:paraId="477CD813" w14:textId="77777777" w:rsidR="00B74A34" w:rsidRPr="00B74A34" w:rsidRDefault="00B74A34" w:rsidP="00B74A34">
            <w:pPr>
              <w:spacing w:before="0" w:afterLines="50"/>
              <w:textAlignment w:val="auto"/>
              <w:rPr>
                <w:rFonts w:eastAsia="Times New Roman"/>
                <w:b/>
                <w:u w:val="single"/>
                <w:lang w:eastAsia="en-GB"/>
              </w:rPr>
            </w:pPr>
            <w:r w:rsidRPr="00B74A34">
              <w:rPr>
                <w:rFonts w:eastAsia="Times New Roman"/>
                <w:b/>
                <w:u w:val="single"/>
                <w:lang w:eastAsia="en-GB"/>
              </w:rPr>
              <w:t xml:space="preserve">Issue 4-2-1: Starting </w:t>
            </w:r>
            <w:bookmarkStart w:id="3" w:name="_Hlk128502695"/>
            <w:r w:rsidRPr="00B74A34">
              <w:rPr>
                <w:rFonts w:eastAsia="Times New Roman"/>
                <w:b/>
                <w:u w:val="single"/>
                <w:lang w:eastAsia="en-GB"/>
              </w:rPr>
              <w:t xml:space="preserve">point of cell switch delay for </w:t>
            </w:r>
            <w:proofErr w:type="spellStart"/>
            <w:r w:rsidRPr="00B74A34">
              <w:rPr>
                <w:rFonts w:eastAsia="Times New Roman"/>
                <w:b/>
                <w:u w:val="single"/>
                <w:lang w:eastAsia="en-GB"/>
              </w:rPr>
              <w:t>PCell</w:t>
            </w:r>
            <w:proofErr w:type="spellEnd"/>
            <w:r w:rsidRPr="00B74A34">
              <w:rPr>
                <w:rFonts w:eastAsia="Times New Roman"/>
                <w:b/>
                <w:u w:val="single"/>
                <w:lang w:eastAsia="en-GB"/>
              </w:rPr>
              <w:t>/PSCell</w:t>
            </w:r>
            <w:bookmarkEnd w:id="3"/>
          </w:p>
          <w:p w14:paraId="1B7A3C0D" w14:textId="77777777" w:rsidR="00B74A34" w:rsidRPr="00B74A34" w:rsidRDefault="00B74A34" w:rsidP="00B74A34">
            <w:pPr>
              <w:spacing w:before="0" w:afterLines="50"/>
              <w:textAlignment w:val="auto"/>
              <w:rPr>
                <w:rFonts w:eastAsia="DengXian"/>
                <w:i/>
                <w:iCs/>
                <w:color w:val="0070C0"/>
                <w:szCs w:val="24"/>
                <w:lang w:eastAsia="zh-CN"/>
              </w:rPr>
            </w:pPr>
            <w:r w:rsidRPr="00B74A34">
              <w:rPr>
                <w:rFonts w:eastAsia="Times New Roman"/>
                <w:i/>
                <w:iCs/>
                <w:color w:val="0070C0"/>
                <w:szCs w:val="24"/>
                <w:lang w:eastAsia="zh-CN"/>
              </w:rPr>
              <w:lastRenderedPageBreak/>
              <w:t>Offline agreement</w:t>
            </w:r>
          </w:p>
          <w:p w14:paraId="3B5E8ED2" w14:textId="77777777" w:rsidR="00B74A34" w:rsidRPr="00B74A34" w:rsidRDefault="00B74A34" w:rsidP="00B74A34">
            <w:pPr>
              <w:spacing w:before="0"/>
              <w:textAlignment w:val="auto"/>
              <w:rPr>
                <w:rFonts w:eastAsia="Times New Roman"/>
                <w:lang w:eastAsia="zh-CN"/>
              </w:rPr>
            </w:pPr>
            <w:r w:rsidRPr="00B74A34">
              <w:rPr>
                <w:rFonts w:eastAsia="Times New Roman"/>
                <w:b/>
                <w:highlight w:val="green"/>
                <w:lang w:eastAsia="zh-CN"/>
              </w:rPr>
              <w:t>&lt; Agreement &gt;</w:t>
            </w:r>
            <w:r w:rsidRPr="00B74A34">
              <w:rPr>
                <w:rFonts w:eastAsia="Times New Roman"/>
                <w:highlight w:val="green"/>
                <w:lang w:eastAsia="zh-CN"/>
              </w:rPr>
              <w:t>:</w:t>
            </w:r>
          </w:p>
          <w:p w14:paraId="3599EECC" w14:textId="77777777" w:rsidR="00B74A34" w:rsidRPr="00B74A34" w:rsidRDefault="00B74A34" w:rsidP="00B74A34">
            <w:pPr>
              <w:numPr>
                <w:ilvl w:val="1"/>
                <w:numId w:val="28"/>
              </w:numPr>
              <w:overflowPunct/>
              <w:autoSpaceDE/>
              <w:adjustRightInd/>
              <w:spacing w:before="0"/>
              <w:textAlignment w:val="auto"/>
              <w:rPr>
                <w:sz w:val="22"/>
                <w:szCs w:val="24"/>
                <w:lang w:val="ru-RU" w:eastAsia="zh-CN"/>
              </w:rPr>
            </w:pPr>
            <w:r w:rsidRPr="00B74A34">
              <w:rPr>
                <w:sz w:val="22"/>
                <w:szCs w:val="24"/>
                <w:lang w:val="ru-RU" w:eastAsia="zh-CN"/>
              </w:rPr>
              <w:t>Cell switch delay for PCell/PSCell starts at UE receives cell switch command.</w:t>
            </w:r>
          </w:p>
          <w:p w14:paraId="6D6AE026" w14:textId="77777777" w:rsidR="00B74A34" w:rsidRPr="00B74A34" w:rsidRDefault="00B74A34" w:rsidP="00B74A34">
            <w:pPr>
              <w:overflowPunct/>
              <w:autoSpaceDE/>
              <w:adjustRightInd/>
              <w:spacing w:before="0"/>
              <w:textAlignment w:val="auto"/>
              <w:rPr>
                <w:rFonts w:eastAsia="Times New Roman"/>
                <w:b/>
                <w:u w:val="single"/>
                <w:lang w:eastAsia="en-GB"/>
              </w:rPr>
            </w:pPr>
          </w:p>
          <w:p w14:paraId="3825FC0E" w14:textId="77777777" w:rsidR="00B74A34" w:rsidRPr="00B74A34" w:rsidRDefault="00B74A34" w:rsidP="00B74A34">
            <w:pPr>
              <w:overflowPunct/>
              <w:autoSpaceDE/>
              <w:adjustRightInd/>
              <w:spacing w:before="0"/>
              <w:textAlignment w:val="auto"/>
              <w:rPr>
                <w:szCs w:val="24"/>
                <w:lang w:eastAsia="zh-CN"/>
              </w:rPr>
            </w:pPr>
            <w:r w:rsidRPr="00B74A34">
              <w:rPr>
                <w:rFonts w:eastAsia="Times New Roman"/>
                <w:b/>
                <w:u w:val="single"/>
                <w:lang w:eastAsia="en-GB"/>
              </w:rPr>
              <w:t xml:space="preserve">Issue 4-2-2: Ending point of RACH-based cell switch delay for </w:t>
            </w:r>
            <w:proofErr w:type="spellStart"/>
            <w:r w:rsidRPr="00B74A34">
              <w:rPr>
                <w:rFonts w:eastAsia="Times New Roman"/>
                <w:b/>
                <w:u w:val="single"/>
                <w:lang w:eastAsia="en-GB"/>
              </w:rPr>
              <w:t>PCell</w:t>
            </w:r>
            <w:proofErr w:type="spellEnd"/>
            <w:r w:rsidRPr="00B74A34">
              <w:rPr>
                <w:rFonts w:eastAsia="Times New Roman"/>
                <w:b/>
                <w:u w:val="single"/>
                <w:lang w:eastAsia="en-GB"/>
              </w:rPr>
              <w:t>/PSCell</w:t>
            </w:r>
          </w:p>
          <w:p w14:paraId="24436E71" w14:textId="77777777" w:rsidR="00B74A34" w:rsidRPr="00B74A34" w:rsidRDefault="00B74A34" w:rsidP="00B74A34">
            <w:pPr>
              <w:spacing w:before="0" w:afterLines="50"/>
              <w:textAlignment w:val="auto"/>
              <w:rPr>
                <w:rFonts w:eastAsia="DengXian"/>
                <w:i/>
                <w:iCs/>
                <w:color w:val="0070C0"/>
                <w:szCs w:val="24"/>
                <w:lang w:eastAsia="zh-CN"/>
              </w:rPr>
            </w:pPr>
            <w:r w:rsidRPr="00B74A34">
              <w:rPr>
                <w:rFonts w:eastAsia="Times New Roman"/>
                <w:i/>
                <w:iCs/>
                <w:color w:val="0070C0"/>
                <w:szCs w:val="24"/>
                <w:lang w:eastAsia="zh-CN"/>
              </w:rPr>
              <w:t>Offline agreement</w:t>
            </w:r>
          </w:p>
          <w:p w14:paraId="49F0B839" w14:textId="77777777" w:rsidR="00B74A34" w:rsidRPr="00B74A34" w:rsidRDefault="00B74A34" w:rsidP="00B74A34">
            <w:pPr>
              <w:spacing w:before="0"/>
              <w:textAlignment w:val="auto"/>
              <w:rPr>
                <w:rFonts w:eastAsia="DengXian"/>
                <w:lang w:eastAsia="zh-CN"/>
              </w:rPr>
            </w:pPr>
            <w:r w:rsidRPr="00B74A34">
              <w:rPr>
                <w:rFonts w:eastAsia="Times New Roman"/>
                <w:b/>
                <w:highlight w:val="green"/>
                <w:lang w:eastAsia="zh-CN"/>
              </w:rPr>
              <w:t>&lt; Agreement &gt;</w:t>
            </w:r>
            <w:r w:rsidRPr="00B74A34">
              <w:rPr>
                <w:rFonts w:eastAsia="Times New Roman"/>
                <w:highlight w:val="green"/>
                <w:lang w:eastAsia="zh-CN"/>
              </w:rPr>
              <w:t>:</w:t>
            </w:r>
          </w:p>
          <w:p w14:paraId="3030026D" w14:textId="2F4714D9" w:rsidR="00B74A34" w:rsidRPr="00B74A34" w:rsidRDefault="00B74A34" w:rsidP="00060600">
            <w:pPr>
              <w:numPr>
                <w:ilvl w:val="1"/>
                <w:numId w:val="28"/>
              </w:numPr>
              <w:overflowPunct/>
              <w:autoSpaceDE/>
              <w:adjustRightInd/>
              <w:spacing w:before="0"/>
              <w:textAlignment w:val="auto"/>
              <w:rPr>
                <w:sz w:val="22"/>
                <w:szCs w:val="24"/>
                <w:lang w:val="ru-RU" w:eastAsia="zh-CN"/>
              </w:rPr>
            </w:pPr>
            <w:r w:rsidRPr="00B74A34">
              <w:rPr>
                <w:sz w:val="22"/>
                <w:szCs w:val="24"/>
                <w:lang w:val="ru-RU" w:eastAsia="zh-CN"/>
              </w:rPr>
              <w:t>For RACH-based cell switch, cell switch delay for PCell/PSCell ends at UE transmitting PRACH to the target cell.</w:t>
            </w:r>
          </w:p>
        </w:tc>
      </w:tr>
    </w:tbl>
    <w:p w14:paraId="0B685AD2" w14:textId="6A334E11" w:rsidR="00B74A34" w:rsidRDefault="00B74A34" w:rsidP="00060600">
      <w:r w:rsidRPr="00B74A34">
        <w:lastRenderedPageBreak/>
        <w:t xml:space="preserve">The starting point of cell switch delay is that UE receives cell switch command. The ending point will depend on RACH-based or RACH-less case.  For RACH-based case, cell switch delay for </w:t>
      </w:r>
      <w:proofErr w:type="spellStart"/>
      <w:r w:rsidRPr="00B74A34">
        <w:t>PCell</w:t>
      </w:r>
      <w:proofErr w:type="spellEnd"/>
      <w:r w:rsidRPr="00B74A34">
        <w:t xml:space="preserve">/PSCell ends at UE transmitting PRACH to the target cell. For RACH-less case, suggest </w:t>
      </w:r>
      <w:proofErr w:type="gramStart"/>
      <w:r w:rsidRPr="00B74A34">
        <w:t>to wait</w:t>
      </w:r>
      <w:proofErr w:type="gramEnd"/>
      <w:r w:rsidRPr="00B74A34">
        <w:t xml:space="preserve"> for more information from RAN1. Currently, RAN1 is discussing the CSI report. The ending point can be the time when UE starts to transmit valid CSI report or the first DL/UL reception/transmission on the indicated beam of the target cell.</w:t>
      </w:r>
    </w:p>
    <w:p w14:paraId="33595BDC" w14:textId="3F74527A" w:rsidR="003956F4" w:rsidRDefault="00B74A34" w:rsidP="003956F4">
      <w:pPr>
        <w:pStyle w:val="Heading2"/>
        <w:tabs>
          <w:tab w:val="num" w:pos="567"/>
        </w:tabs>
        <w:ind w:left="567"/>
      </w:pPr>
      <w:r w:rsidRPr="00B74A34">
        <w:t xml:space="preserve">Detail of cell switch delay requirements for </w:t>
      </w:r>
      <w:proofErr w:type="spellStart"/>
      <w:r w:rsidRPr="00B74A34">
        <w:t>Pcell</w:t>
      </w:r>
      <w:proofErr w:type="spellEnd"/>
      <w:r w:rsidRPr="00B74A34">
        <w:t>/PSCell</w:t>
      </w:r>
    </w:p>
    <w:p w14:paraId="737DE1C8" w14:textId="54172AE9" w:rsidR="00B74A34" w:rsidRPr="00B74A34" w:rsidRDefault="00B74A34" w:rsidP="00B74A34">
      <w:pPr>
        <w:rPr>
          <w:b/>
          <w:bCs/>
          <w:i/>
          <w:iCs/>
          <w:u w:val="single"/>
        </w:rPr>
      </w:pPr>
      <w:r w:rsidRPr="00B74A34">
        <w:rPr>
          <w:b/>
          <w:bCs/>
          <w:i/>
          <w:iCs/>
          <w:u w:val="single"/>
        </w:rPr>
        <w:t>Early sync and early TA</w:t>
      </w:r>
    </w:p>
    <w:p w14:paraId="66A5D26B" w14:textId="1BCF1C50" w:rsidR="00B74A34" w:rsidRDefault="00B74A34" w:rsidP="00B74A34">
      <w:pPr>
        <w:rPr>
          <w:lang w:val="en-US"/>
        </w:rPr>
      </w:pPr>
      <w:r>
        <w:t>From RAN1 agreement, both DL and UL will support synchronization before cell switch command. Then the cell switch delay may be further classified into pre-sync and No pre-sync cases.</w:t>
      </w:r>
    </w:p>
    <w:p w14:paraId="71A1A5F3" w14:textId="21EAEC81" w:rsidR="00B74A34" w:rsidRDefault="00B74A34" w:rsidP="00B74A34">
      <w:r>
        <w:t xml:space="preserve">Regarding DL sync, the UE has done L3 measurements on the target cell before beam management operations. It serves as a prerequisite condition to the L1-RSRP measurements. If </w:t>
      </w:r>
      <w:proofErr w:type="gramStart"/>
      <w:r>
        <w:t>pre DL</w:t>
      </w:r>
      <w:proofErr w:type="gramEnd"/>
      <w:r>
        <w:t xml:space="preserve">-sync is applied, </w:t>
      </w:r>
      <w:proofErr w:type="spellStart"/>
      <w:r>
        <w:t>T</w:t>
      </w:r>
      <w:r>
        <w:rPr>
          <w:vertAlign w:val="subscript"/>
        </w:rPr>
        <w:t>search</w:t>
      </w:r>
      <w:proofErr w:type="spellEnd"/>
      <w:r>
        <w:t xml:space="preserve"> can be skipped. It needs further discussion whether fine time tracking can be skipped. If the time interval between DL sync and cell switch command is a bit long, fine time tracking is still needed after cell switch command. </w:t>
      </w:r>
    </w:p>
    <w:p w14:paraId="61684813" w14:textId="46917BD5" w:rsidR="00B74A34" w:rsidRDefault="00B74A34" w:rsidP="00B74A34">
      <w:r>
        <w:t xml:space="preserve">If </w:t>
      </w:r>
      <w:proofErr w:type="gramStart"/>
      <w:r>
        <w:t>pre UL</w:t>
      </w:r>
      <w:proofErr w:type="gramEnd"/>
      <w:r>
        <w:t xml:space="preserve">-sync is applied, TA can be indicated in cell switch command or acquired by UE by PDCCH-ordered RACH and the normal RACH procedure after cell switch command can be skipped. There will be interruption when preamble is transmitted for the PDCCH-ordered approach. If there is no priority rule defined in RAN1, RAN4 may consider </w:t>
      </w:r>
      <w:proofErr w:type="gramStart"/>
      <w:r>
        <w:t>to define</w:t>
      </w:r>
      <w:proofErr w:type="gramEnd"/>
      <w:r>
        <w:t xml:space="preserve"> scheduling restriction.</w:t>
      </w:r>
    </w:p>
    <w:p w14:paraId="5716ABF1" w14:textId="515453B8" w:rsidR="00B74A34" w:rsidRPr="00B74A34" w:rsidRDefault="00B74A34" w:rsidP="00B74A34">
      <w:pPr>
        <w:rPr>
          <w:b/>
          <w:bCs/>
          <w:i/>
          <w:iCs/>
          <w:u w:val="single"/>
        </w:rPr>
      </w:pPr>
      <w:r w:rsidRPr="00B74A34">
        <w:rPr>
          <w:b/>
          <w:bCs/>
          <w:i/>
          <w:iCs/>
          <w:u w:val="single"/>
        </w:rPr>
        <w:t>TCI states and switch</w:t>
      </w:r>
    </w:p>
    <w:p w14:paraId="09D36A6A" w14:textId="596D7462" w:rsidR="00B74A34" w:rsidRDefault="00B74A34" w:rsidP="00B74A34">
      <w:r>
        <w:t>For DL TCI state switch, there is no extra delay if fine time tracking is already included in cell switch delay requirement.</w:t>
      </w:r>
    </w:p>
    <w:p w14:paraId="0EA624E0" w14:textId="77777777" w:rsidR="00B74A34" w:rsidRDefault="00B74A34" w:rsidP="00B74A34">
      <w:r>
        <w:t xml:space="preserve">For UL TCI state switch, possible extra delay is expected due to non-maintained PL-RS. We therefore prefer to only consider UL TCI state switch for maintained PL-RS case. </w:t>
      </w:r>
    </w:p>
    <w:p w14:paraId="16E159FA" w14:textId="04F8341E" w:rsidR="00B74A34" w:rsidRPr="00B74A34" w:rsidRDefault="00B74A34" w:rsidP="00B74A34">
      <w:pPr>
        <w:rPr>
          <w:b/>
          <w:bCs/>
        </w:rPr>
      </w:pPr>
      <w:r w:rsidRPr="00B74A34">
        <w:rPr>
          <w:b/>
          <w:bCs/>
        </w:rPr>
        <w:t xml:space="preserve">Proposal 2: if DL TCI state switch is included in cell switch command, there is no extra delay if fine time tracking is already included in cell switch delay requirement or obtained by </w:t>
      </w:r>
      <w:proofErr w:type="gramStart"/>
      <w:r w:rsidRPr="00B74A34">
        <w:rPr>
          <w:b/>
          <w:bCs/>
        </w:rPr>
        <w:t>pre DL</w:t>
      </w:r>
      <w:proofErr w:type="gramEnd"/>
      <w:r w:rsidRPr="00B74A34">
        <w:rPr>
          <w:b/>
          <w:bCs/>
        </w:rPr>
        <w:t>-sync.</w:t>
      </w:r>
    </w:p>
    <w:p w14:paraId="5E4592ED" w14:textId="6ECED543" w:rsidR="00B74A34" w:rsidRPr="00B74A34" w:rsidRDefault="00B74A34" w:rsidP="00B74A34">
      <w:pPr>
        <w:rPr>
          <w:b/>
          <w:bCs/>
        </w:rPr>
      </w:pPr>
      <w:r w:rsidRPr="00B74A34">
        <w:rPr>
          <w:b/>
          <w:bCs/>
        </w:rPr>
        <w:t>Proposal 3: If UL TCI state switch is included in cell switch command, possible extra delay is expected due to non-maintained PL-RS. Further discuss whether to consider non maintained PL-RS case.</w:t>
      </w:r>
    </w:p>
    <w:p w14:paraId="7B24FAE5" w14:textId="77777777" w:rsidR="00B74A34" w:rsidRDefault="00B74A34" w:rsidP="00B74A34">
      <w:r>
        <w:t>Besides, it’s FFS whether TCI state switch command can be sent before cell switch. In current RAN4, TCI state switch requirement for cell with different PCI can only apply for the condition that timing offset smaller than CP and it can only work for intra-frequency case.</w:t>
      </w:r>
    </w:p>
    <w:p w14:paraId="54BA2D35" w14:textId="4D698853" w:rsidR="00B74A34" w:rsidRPr="00B74A34" w:rsidRDefault="00B74A34" w:rsidP="00B74A34">
      <w:pPr>
        <w:rPr>
          <w:b/>
          <w:bCs/>
        </w:rPr>
      </w:pPr>
      <w:r w:rsidRPr="00B74A34">
        <w:rPr>
          <w:b/>
          <w:bCs/>
        </w:rPr>
        <w:t xml:space="preserve">Proposal 4: If TCI state switch command can be sent before cell switch, depending on progress of RAN1, RAN4 may need to further discuss how to update current requirement for TCI activation, </w:t>
      </w:r>
      <w:proofErr w:type="gramStart"/>
      <w:r w:rsidRPr="00B74A34">
        <w:rPr>
          <w:b/>
          <w:bCs/>
        </w:rPr>
        <w:t>e.g.</w:t>
      </w:r>
      <w:proofErr w:type="gramEnd"/>
      <w:r w:rsidRPr="00B74A34">
        <w:rPr>
          <w:b/>
          <w:bCs/>
        </w:rPr>
        <w:t xml:space="preserve"> timing offset, active BWP. </w:t>
      </w:r>
    </w:p>
    <w:p w14:paraId="1AA66729" w14:textId="77777777" w:rsidR="00B74A34" w:rsidRDefault="00B74A34" w:rsidP="00B74A34">
      <w:r>
        <w:t>The whole LTM aims to reduce the total delay of cell switch, therefore, cell switch will be performed for only known TCI state. L1 report with beam indication needs to be sent before cell switch command.</w:t>
      </w:r>
    </w:p>
    <w:p w14:paraId="7CD03CEC" w14:textId="1DB728B6" w:rsidR="00B74A34" w:rsidRPr="00F9099D" w:rsidRDefault="00B74A34" w:rsidP="00B74A34">
      <w:pPr>
        <w:rPr>
          <w:b/>
          <w:bCs/>
        </w:rPr>
      </w:pPr>
      <w:r w:rsidRPr="00F9099D">
        <w:rPr>
          <w:b/>
          <w:bCs/>
        </w:rPr>
        <w:t xml:space="preserve">Proposal </w:t>
      </w:r>
      <w:r w:rsidR="00F9099D" w:rsidRPr="00F9099D">
        <w:rPr>
          <w:b/>
          <w:bCs/>
        </w:rPr>
        <w:t>5</w:t>
      </w:r>
      <w:r w:rsidRPr="00F9099D">
        <w:rPr>
          <w:b/>
          <w:bCs/>
        </w:rPr>
        <w:t>: Only define cell switch requirement for known TCI state case in LTM.</w:t>
      </w:r>
    </w:p>
    <w:p w14:paraId="06B0650C" w14:textId="77777777" w:rsidR="00F01182" w:rsidRPr="00146B4F" w:rsidRDefault="00F01182" w:rsidP="00F01182">
      <w:pPr>
        <w:pStyle w:val="Heading1"/>
      </w:pPr>
      <w:r w:rsidRPr="00146B4F">
        <w:lastRenderedPageBreak/>
        <w:t>Conclusion</w:t>
      </w:r>
    </w:p>
    <w:p w14:paraId="68A5CC71" w14:textId="77777777" w:rsidR="00F9099D" w:rsidRDefault="00F9099D" w:rsidP="00F9099D">
      <w:r w:rsidRPr="00536CC1">
        <w:t>In this paper we provide our views on</w:t>
      </w:r>
      <w:r>
        <w:t xml:space="preserve"> principles, </w:t>
      </w:r>
      <w:proofErr w:type="gramStart"/>
      <w:r>
        <w:t>timeline</w:t>
      </w:r>
      <w:proofErr w:type="gramEnd"/>
      <w:r>
        <w:t xml:space="preserve"> and details for L1L2 inter-cell mobility delay requirements discussions.</w:t>
      </w:r>
    </w:p>
    <w:p w14:paraId="771F4957" w14:textId="77777777" w:rsidR="00AA1AA2" w:rsidRPr="00E40F00" w:rsidRDefault="00AA1AA2" w:rsidP="00AA1AA2">
      <w:pPr>
        <w:rPr>
          <w:b/>
          <w:bCs/>
        </w:rPr>
      </w:pPr>
      <w:r w:rsidRPr="00E40F00">
        <w:rPr>
          <w:b/>
          <w:bCs/>
        </w:rPr>
        <w:t>Proposal 1: Deprioritize PSCell change with direct SCell activation requirements.</w:t>
      </w:r>
    </w:p>
    <w:p w14:paraId="064D7A22" w14:textId="77777777" w:rsidR="00AA1AA2" w:rsidRPr="00B74A34" w:rsidRDefault="00AA1AA2" w:rsidP="00AA1AA2">
      <w:pPr>
        <w:rPr>
          <w:b/>
          <w:bCs/>
        </w:rPr>
      </w:pPr>
      <w:r w:rsidRPr="00B74A34">
        <w:rPr>
          <w:b/>
          <w:bCs/>
        </w:rPr>
        <w:t xml:space="preserve">Proposal 2: if DL TCI state switch is included in cell switch command, there is no extra delay if fine time tracking is already included in cell switch delay requirement or obtained by </w:t>
      </w:r>
      <w:proofErr w:type="gramStart"/>
      <w:r w:rsidRPr="00B74A34">
        <w:rPr>
          <w:b/>
          <w:bCs/>
        </w:rPr>
        <w:t>pre DL</w:t>
      </w:r>
      <w:proofErr w:type="gramEnd"/>
      <w:r w:rsidRPr="00B74A34">
        <w:rPr>
          <w:b/>
          <w:bCs/>
        </w:rPr>
        <w:t>-sync.</w:t>
      </w:r>
    </w:p>
    <w:p w14:paraId="655310A3" w14:textId="77777777" w:rsidR="00AA1AA2" w:rsidRPr="00B74A34" w:rsidRDefault="00AA1AA2" w:rsidP="00AA1AA2">
      <w:pPr>
        <w:rPr>
          <w:b/>
          <w:bCs/>
        </w:rPr>
      </w:pPr>
      <w:r w:rsidRPr="00B74A34">
        <w:rPr>
          <w:b/>
          <w:bCs/>
        </w:rPr>
        <w:t>Proposal 3: If UL TCI state switch is included in cell switch command, possible extra delay is expected due to non-maintained PL-RS. Further discuss whether to consider non maintained PL-RS case.</w:t>
      </w:r>
    </w:p>
    <w:p w14:paraId="3EB23673" w14:textId="77777777" w:rsidR="00AA1AA2" w:rsidRPr="00B74A34" w:rsidRDefault="00AA1AA2" w:rsidP="00AA1AA2">
      <w:pPr>
        <w:rPr>
          <w:b/>
          <w:bCs/>
        </w:rPr>
      </w:pPr>
      <w:r w:rsidRPr="00B74A34">
        <w:rPr>
          <w:b/>
          <w:bCs/>
        </w:rPr>
        <w:t xml:space="preserve">Proposal 4: If TCI state switch command can be sent before cell switch, depending on progress of RAN1, RAN4 may need to further discuss how to update current requirement for TCI activation, </w:t>
      </w:r>
      <w:proofErr w:type="gramStart"/>
      <w:r w:rsidRPr="00B74A34">
        <w:rPr>
          <w:b/>
          <w:bCs/>
        </w:rPr>
        <w:t>e.g.</w:t>
      </w:r>
      <w:proofErr w:type="gramEnd"/>
      <w:r w:rsidRPr="00B74A34">
        <w:rPr>
          <w:b/>
          <w:bCs/>
        </w:rPr>
        <w:t xml:space="preserve"> timing offset, active BWP. </w:t>
      </w:r>
    </w:p>
    <w:p w14:paraId="55DFAF92" w14:textId="77777777" w:rsidR="00AA1AA2" w:rsidRPr="00F9099D" w:rsidRDefault="00AA1AA2" w:rsidP="00AA1AA2">
      <w:pPr>
        <w:rPr>
          <w:b/>
          <w:bCs/>
        </w:rPr>
      </w:pPr>
      <w:r w:rsidRPr="00F9099D">
        <w:rPr>
          <w:b/>
          <w:bCs/>
        </w:rPr>
        <w:t>Proposal 5: Only define cell switch requirement for known TCI state case in LTM.</w:t>
      </w:r>
    </w:p>
    <w:p w14:paraId="0F869E2E" w14:textId="77777777" w:rsidR="00F01182" w:rsidRPr="00146B4F" w:rsidRDefault="00F01182" w:rsidP="00F01182">
      <w:pPr>
        <w:pStyle w:val="Heading1"/>
      </w:pPr>
      <w:r w:rsidRPr="00146B4F">
        <w:t>References</w:t>
      </w:r>
    </w:p>
    <w:p w14:paraId="440E29CC" w14:textId="0C7BDB5C" w:rsidR="0035238C" w:rsidRDefault="0011364F" w:rsidP="00536CC1">
      <w:pPr>
        <w:widowControl w:val="0"/>
        <w:numPr>
          <w:ilvl w:val="0"/>
          <w:numId w:val="1"/>
        </w:numPr>
        <w:jc w:val="both"/>
      </w:pPr>
      <w:r>
        <w:t xml:space="preserve">R4-2303175 WF on NR Mobility Enhancements RRM requirements part1, </w:t>
      </w:r>
      <w:r w:rsidR="009719C3">
        <w:t xml:space="preserve">MediaTek Inc., </w:t>
      </w:r>
      <w:r>
        <w:t>RAN4#106</w:t>
      </w:r>
    </w:p>
    <w:sectPr w:rsidR="0035238C"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7F0A" w14:textId="77777777" w:rsidR="002B238F" w:rsidRDefault="002B238F" w:rsidP="00F01182">
      <w:pPr>
        <w:spacing w:before="0" w:after="0"/>
      </w:pPr>
      <w:r>
        <w:separator/>
      </w:r>
    </w:p>
  </w:endnote>
  <w:endnote w:type="continuationSeparator" w:id="0">
    <w:p w14:paraId="2181ABB7" w14:textId="77777777" w:rsidR="002B238F" w:rsidRDefault="002B238F"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79E9" w14:textId="77777777" w:rsidR="002B238F" w:rsidRDefault="002B238F" w:rsidP="00F01182">
      <w:pPr>
        <w:spacing w:before="0" w:after="0"/>
      </w:pPr>
      <w:r>
        <w:separator/>
      </w:r>
    </w:p>
  </w:footnote>
  <w:footnote w:type="continuationSeparator" w:id="0">
    <w:p w14:paraId="3976ED91" w14:textId="77777777" w:rsidR="002B238F" w:rsidRDefault="002B238F"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1"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A73E00"/>
    <w:multiLevelType w:val="hybridMultilevel"/>
    <w:tmpl w:val="7EBEE434"/>
    <w:lvl w:ilvl="0" w:tplc="0E84625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3"/>
  </w:num>
  <w:num w:numId="2" w16cid:durableId="1965572078">
    <w:abstractNumId w:val="15"/>
  </w:num>
  <w:num w:numId="3" w16cid:durableId="1750498845">
    <w:abstractNumId w:val="18"/>
  </w:num>
  <w:num w:numId="4" w16cid:durableId="543520260">
    <w:abstractNumId w:val="14"/>
  </w:num>
  <w:num w:numId="5" w16cid:durableId="1359502119">
    <w:abstractNumId w:val="8"/>
  </w:num>
  <w:num w:numId="6" w16cid:durableId="1793940456">
    <w:abstractNumId w:val="20"/>
  </w:num>
  <w:num w:numId="7" w16cid:durableId="537012164">
    <w:abstractNumId w:val="6"/>
  </w:num>
  <w:num w:numId="8" w16cid:durableId="2097706601">
    <w:abstractNumId w:val="0"/>
  </w:num>
  <w:num w:numId="9" w16cid:durableId="1310327117">
    <w:abstractNumId w:val="9"/>
  </w:num>
  <w:num w:numId="10" w16cid:durableId="1636716512">
    <w:abstractNumId w:val="21"/>
  </w:num>
  <w:num w:numId="11" w16cid:durableId="715861796">
    <w:abstractNumId w:val="1"/>
  </w:num>
  <w:num w:numId="12" w16cid:durableId="839199737">
    <w:abstractNumId w:val="2"/>
  </w:num>
  <w:num w:numId="13" w16cid:durableId="1818840559">
    <w:abstractNumId w:val="17"/>
  </w:num>
  <w:num w:numId="14" w16cid:durableId="1427581886">
    <w:abstractNumId w:val="10"/>
  </w:num>
  <w:num w:numId="15" w16cid:durableId="1860504042">
    <w:abstractNumId w:val="16"/>
  </w:num>
  <w:num w:numId="16" w16cid:durableId="1765879093">
    <w:abstractNumId w:val="11"/>
  </w:num>
  <w:num w:numId="17" w16cid:durableId="483280718">
    <w:abstractNumId w:val="22"/>
  </w:num>
  <w:num w:numId="18" w16cid:durableId="1885829372">
    <w:abstractNumId w:val="12"/>
  </w:num>
  <w:num w:numId="19" w16cid:durableId="513542627">
    <w:abstractNumId w:val="4"/>
  </w:num>
  <w:num w:numId="20" w16cid:durableId="754546545">
    <w:abstractNumId w:val="13"/>
  </w:num>
  <w:num w:numId="21" w16cid:durableId="693922844">
    <w:abstractNumId w:val="15"/>
  </w:num>
  <w:num w:numId="22" w16cid:durableId="488254912">
    <w:abstractNumId w:val="15"/>
  </w:num>
  <w:num w:numId="23" w16cid:durableId="313418068">
    <w:abstractNumId w:val="15"/>
  </w:num>
  <w:num w:numId="24" w16cid:durableId="1253708625">
    <w:abstractNumId w:val="15"/>
  </w:num>
  <w:num w:numId="25" w16cid:durableId="1868327563">
    <w:abstractNumId w:val="15"/>
  </w:num>
  <w:num w:numId="26" w16cid:durableId="403720693">
    <w:abstractNumId w:val="16"/>
  </w:num>
  <w:num w:numId="27" w16cid:durableId="979964366">
    <w:abstractNumId w:val="5"/>
  </w:num>
  <w:num w:numId="28" w16cid:durableId="991327563">
    <w:abstractNumId w:val="7"/>
  </w:num>
  <w:num w:numId="29" w16cid:durableId="8601650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ABE"/>
    <w:rsid w:val="00030E5B"/>
    <w:rsid w:val="00032E03"/>
    <w:rsid w:val="000340DF"/>
    <w:rsid w:val="00043C34"/>
    <w:rsid w:val="00045451"/>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7484"/>
    <w:rsid w:val="000C3C28"/>
    <w:rsid w:val="000C591A"/>
    <w:rsid w:val="000C7CEA"/>
    <w:rsid w:val="000E1A0A"/>
    <w:rsid w:val="000E6EF7"/>
    <w:rsid w:val="000E7B3A"/>
    <w:rsid w:val="000F0FA7"/>
    <w:rsid w:val="00103BF4"/>
    <w:rsid w:val="001040B8"/>
    <w:rsid w:val="00107875"/>
    <w:rsid w:val="00107AE1"/>
    <w:rsid w:val="00112CB5"/>
    <w:rsid w:val="0011347F"/>
    <w:rsid w:val="0011364F"/>
    <w:rsid w:val="00113F61"/>
    <w:rsid w:val="00115392"/>
    <w:rsid w:val="00115F4E"/>
    <w:rsid w:val="0011631D"/>
    <w:rsid w:val="001252BA"/>
    <w:rsid w:val="00125DD7"/>
    <w:rsid w:val="001271E2"/>
    <w:rsid w:val="00131A6F"/>
    <w:rsid w:val="0013660D"/>
    <w:rsid w:val="00143777"/>
    <w:rsid w:val="00152119"/>
    <w:rsid w:val="00152979"/>
    <w:rsid w:val="00152F4F"/>
    <w:rsid w:val="00152FC7"/>
    <w:rsid w:val="001530D5"/>
    <w:rsid w:val="001544E7"/>
    <w:rsid w:val="00155382"/>
    <w:rsid w:val="001607E8"/>
    <w:rsid w:val="00163460"/>
    <w:rsid w:val="00173E8F"/>
    <w:rsid w:val="00175234"/>
    <w:rsid w:val="001769DC"/>
    <w:rsid w:val="001776C0"/>
    <w:rsid w:val="00181F62"/>
    <w:rsid w:val="00182B74"/>
    <w:rsid w:val="0018394C"/>
    <w:rsid w:val="0018463B"/>
    <w:rsid w:val="00185B35"/>
    <w:rsid w:val="00185EBB"/>
    <w:rsid w:val="0018602E"/>
    <w:rsid w:val="00191E1E"/>
    <w:rsid w:val="001936BF"/>
    <w:rsid w:val="00196ACE"/>
    <w:rsid w:val="001977AA"/>
    <w:rsid w:val="001A5351"/>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07104"/>
    <w:rsid w:val="002102C7"/>
    <w:rsid w:val="002132D0"/>
    <w:rsid w:val="00213455"/>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70245"/>
    <w:rsid w:val="00272062"/>
    <w:rsid w:val="00272524"/>
    <w:rsid w:val="002732EB"/>
    <w:rsid w:val="00276AB5"/>
    <w:rsid w:val="00280090"/>
    <w:rsid w:val="00281192"/>
    <w:rsid w:val="0028218B"/>
    <w:rsid w:val="00291A4F"/>
    <w:rsid w:val="00294742"/>
    <w:rsid w:val="00295710"/>
    <w:rsid w:val="00296A2A"/>
    <w:rsid w:val="002979ED"/>
    <w:rsid w:val="002A153C"/>
    <w:rsid w:val="002A1DA3"/>
    <w:rsid w:val="002A3061"/>
    <w:rsid w:val="002A3FC8"/>
    <w:rsid w:val="002A50F5"/>
    <w:rsid w:val="002B00D5"/>
    <w:rsid w:val="002B198E"/>
    <w:rsid w:val="002B1B91"/>
    <w:rsid w:val="002B238F"/>
    <w:rsid w:val="002B26BD"/>
    <w:rsid w:val="002B3F75"/>
    <w:rsid w:val="002B503C"/>
    <w:rsid w:val="002B5535"/>
    <w:rsid w:val="002B5545"/>
    <w:rsid w:val="002C16EF"/>
    <w:rsid w:val="002C565E"/>
    <w:rsid w:val="002C6096"/>
    <w:rsid w:val="002C6111"/>
    <w:rsid w:val="002C774D"/>
    <w:rsid w:val="002D54A8"/>
    <w:rsid w:val="002D5AF3"/>
    <w:rsid w:val="002D7BB7"/>
    <w:rsid w:val="002E1458"/>
    <w:rsid w:val="002E2C6B"/>
    <w:rsid w:val="002E3267"/>
    <w:rsid w:val="002E5DFE"/>
    <w:rsid w:val="002E6C80"/>
    <w:rsid w:val="002F0CF0"/>
    <w:rsid w:val="002F200B"/>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5F25"/>
    <w:rsid w:val="00340741"/>
    <w:rsid w:val="00341635"/>
    <w:rsid w:val="003439AE"/>
    <w:rsid w:val="00344B9F"/>
    <w:rsid w:val="00347765"/>
    <w:rsid w:val="003502D8"/>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B06"/>
    <w:rsid w:val="004345D9"/>
    <w:rsid w:val="00435B85"/>
    <w:rsid w:val="00447406"/>
    <w:rsid w:val="00450660"/>
    <w:rsid w:val="004520A8"/>
    <w:rsid w:val="004536D1"/>
    <w:rsid w:val="004563D3"/>
    <w:rsid w:val="00461289"/>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F0F"/>
    <w:rsid w:val="00543E95"/>
    <w:rsid w:val="00545586"/>
    <w:rsid w:val="00545744"/>
    <w:rsid w:val="005468E3"/>
    <w:rsid w:val="0054776E"/>
    <w:rsid w:val="00547F4D"/>
    <w:rsid w:val="00551564"/>
    <w:rsid w:val="0055372B"/>
    <w:rsid w:val="00553847"/>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90C75"/>
    <w:rsid w:val="006A16AF"/>
    <w:rsid w:val="006A5F2D"/>
    <w:rsid w:val="006B0591"/>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741D"/>
    <w:rsid w:val="007473A3"/>
    <w:rsid w:val="00752376"/>
    <w:rsid w:val="00762BD0"/>
    <w:rsid w:val="00767065"/>
    <w:rsid w:val="00780851"/>
    <w:rsid w:val="00780A46"/>
    <w:rsid w:val="00780CB5"/>
    <w:rsid w:val="00781FCA"/>
    <w:rsid w:val="00782360"/>
    <w:rsid w:val="007876D5"/>
    <w:rsid w:val="007906B8"/>
    <w:rsid w:val="007975BA"/>
    <w:rsid w:val="007A14A1"/>
    <w:rsid w:val="007A45CE"/>
    <w:rsid w:val="007B03C9"/>
    <w:rsid w:val="007B2FB4"/>
    <w:rsid w:val="007C1E2C"/>
    <w:rsid w:val="007C1FD1"/>
    <w:rsid w:val="007C395A"/>
    <w:rsid w:val="007D3E2A"/>
    <w:rsid w:val="007D6681"/>
    <w:rsid w:val="007E00C1"/>
    <w:rsid w:val="007E243B"/>
    <w:rsid w:val="007E3B33"/>
    <w:rsid w:val="007E5580"/>
    <w:rsid w:val="007E6D85"/>
    <w:rsid w:val="007F2670"/>
    <w:rsid w:val="007F340B"/>
    <w:rsid w:val="007F5315"/>
    <w:rsid w:val="00803A5E"/>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253B"/>
    <w:rsid w:val="00842589"/>
    <w:rsid w:val="008466B7"/>
    <w:rsid w:val="00846F42"/>
    <w:rsid w:val="00847D21"/>
    <w:rsid w:val="00851E91"/>
    <w:rsid w:val="008520CB"/>
    <w:rsid w:val="008557CE"/>
    <w:rsid w:val="008579C9"/>
    <w:rsid w:val="008604F8"/>
    <w:rsid w:val="00871EF4"/>
    <w:rsid w:val="00871FE1"/>
    <w:rsid w:val="00876695"/>
    <w:rsid w:val="008804B7"/>
    <w:rsid w:val="008823F4"/>
    <w:rsid w:val="0088390E"/>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64EB"/>
    <w:rsid w:val="00900892"/>
    <w:rsid w:val="00905604"/>
    <w:rsid w:val="0091207F"/>
    <w:rsid w:val="009123FD"/>
    <w:rsid w:val="00912AF8"/>
    <w:rsid w:val="00917836"/>
    <w:rsid w:val="00921CD3"/>
    <w:rsid w:val="009233A6"/>
    <w:rsid w:val="009258DD"/>
    <w:rsid w:val="0092766A"/>
    <w:rsid w:val="00930D82"/>
    <w:rsid w:val="00932F7B"/>
    <w:rsid w:val="009335D9"/>
    <w:rsid w:val="00941089"/>
    <w:rsid w:val="0094154F"/>
    <w:rsid w:val="00941FFE"/>
    <w:rsid w:val="009436B2"/>
    <w:rsid w:val="00944055"/>
    <w:rsid w:val="00946AE2"/>
    <w:rsid w:val="00952073"/>
    <w:rsid w:val="00952E77"/>
    <w:rsid w:val="00952FC5"/>
    <w:rsid w:val="00954E38"/>
    <w:rsid w:val="009550C0"/>
    <w:rsid w:val="00955AFF"/>
    <w:rsid w:val="00961D86"/>
    <w:rsid w:val="00963845"/>
    <w:rsid w:val="00963BDA"/>
    <w:rsid w:val="00964292"/>
    <w:rsid w:val="00971726"/>
    <w:rsid w:val="009719C3"/>
    <w:rsid w:val="009726C8"/>
    <w:rsid w:val="00973778"/>
    <w:rsid w:val="00975FC9"/>
    <w:rsid w:val="00977CFF"/>
    <w:rsid w:val="009821B5"/>
    <w:rsid w:val="00982F1A"/>
    <w:rsid w:val="0098361A"/>
    <w:rsid w:val="009841C5"/>
    <w:rsid w:val="0098591C"/>
    <w:rsid w:val="00987EEF"/>
    <w:rsid w:val="00990C08"/>
    <w:rsid w:val="00990CC4"/>
    <w:rsid w:val="00990DD7"/>
    <w:rsid w:val="00992FAE"/>
    <w:rsid w:val="00993E56"/>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1AA2"/>
    <w:rsid w:val="00AA724A"/>
    <w:rsid w:val="00AB081E"/>
    <w:rsid w:val="00AB2E7B"/>
    <w:rsid w:val="00AB3834"/>
    <w:rsid w:val="00AB53BC"/>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1F68"/>
    <w:rsid w:val="00B5397D"/>
    <w:rsid w:val="00B56C12"/>
    <w:rsid w:val="00B56C5A"/>
    <w:rsid w:val="00B62BA2"/>
    <w:rsid w:val="00B635C8"/>
    <w:rsid w:val="00B635E3"/>
    <w:rsid w:val="00B65363"/>
    <w:rsid w:val="00B71247"/>
    <w:rsid w:val="00B72FB9"/>
    <w:rsid w:val="00B743B0"/>
    <w:rsid w:val="00B74A34"/>
    <w:rsid w:val="00B74C12"/>
    <w:rsid w:val="00B76C78"/>
    <w:rsid w:val="00B7752C"/>
    <w:rsid w:val="00B87EAC"/>
    <w:rsid w:val="00B912A4"/>
    <w:rsid w:val="00B92BE2"/>
    <w:rsid w:val="00B93C3E"/>
    <w:rsid w:val="00B94260"/>
    <w:rsid w:val="00B94869"/>
    <w:rsid w:val="00B96CE2"/>
    <w:rsid w:val="00BA3E2C"/>
    <w:rsid w:val="00BA5F1E"/>
    <w:rsid w:val="00BA73CB"/>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415E"/>
    <w:rsid w:val="00CE5C33"/>
    <w:rsid w:val="00CE6A2F"/>
    <w:rsid w:val="00CE6DC0"/>
    <w:rsid w:val="00CF33B9"/>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31AD3"/>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E91"/>
    <w:rsid w:val="00D9234B"/>
    <w:rsid w:val="00D93F60"/>
    <w:rsid w:val="00D94A75"/>
    <w:rsid w:val="00DA0830"/>
    <w:rsid w:val="00DA3A8F"/>
    <w:rsid w:val="00DA5651"/>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3D48"/>
    <w:rsid w:val="00DD70EB"/>
    <w:rsid w:val="00DE0BFC"/>
    <w:rsid w:val="00DE1552"/>
    <w:rsid w:val="00DE2717"/>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0F00"/>
    <w:rsid w:val="00E41A36"/>
    <w:rsid w:val="00E44293"/>
    <w:rsid w:val="00E44F50"/>
    <w:rsid w:val="00E45253"/>
    <w:rsid w:val="00E46580"/>
    <w:rsid w:val="00E530B6"/>
    <w:rsid w:val="00E616D4"/>
    <w:rsid w:val="00E62411"/>
    <w:rsid w:val="00E75391"/>
    <w:rsid w:val="00E773AC"/>
    <w:rsid w:val="00E8091B"/>
    <w:rsid w:val="00E82567"/>
    <w:rsid w:val="00E90376"/>
    <w:rsid w:val="00E93326"/>
    <w:rsid w:val="00E93DC7"/>
    <w:rsid w:val="00EA0252"/>
    <w:rsid w:val="00EA0AEF"/>
    <w:rsid w:val="00EA196B"/>
    <w:rsid w:val="00EA1E2D"/>
    <w:rsid w:val="00EA2E69"/>
    <w:rsid w:val="00EA2F82"/>
    <w:rsid w:val="00EB44C6"/>
    <w:rsid w:val="00EB61C0"/>
    <w:rsid w:val="00EB6DB3"/>
    <w:rsid w:val="00EC0371"/>
    <w:rsid w:val="00EC05A8"/>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9099D"/>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5B81"/>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uiPriority w:val="99"/>
    <w:qFormat/>
    <w:rsid w:val="007E00C1"/>
    <w:rPr>
      <w:b/>
    </w:rPr>
  </w:style>
  <w:style w:type="paragraph" w:customStyle="1" w:styleId="TAC">
    <w:name w:val="TAC"/>
    <w:basedOn w:val="Normal"/>
    <w:link w:val="TACChar"/>
    <w:uiPriority w:val="99"/>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uiPriority w:val="99"/>
    <w:qFormat/>
    <w:rsid w:val="007E00C1"/>
    <w:rPr>
      <w:rFonts w:ascii="Arial" w:eastAsia="SimSun" w:hAnsi="Arial" w:cs="Times New Roman"/>
      <w:sz w:val="18"/>
      <w:szCs w:val="20"/>
      <w:lang w:val="en-GB"/>
    </w:rPr>
  </w:style>
  <w:style w:type="character" w:customStyle="1" w:styleId="TAHCar">
    <w:name w:val="TAH Car"/>
    <w:link w:val="TAH"/>
    <w:uiPriority w:val="99"/>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22189244">
      <w:bodyDiv w:val="1"/>
      <w:marLeft w:val="0"/>
      <w:marRight w:val="0"/>
      <w:marTop w:val="0"/>
      <w:marBottom w:val="0"/>
      <w:divBdr>
        <w:top w:val="none" w:sz="0" w:space="0" w:color="auto"/>
        <w:left w:val="none" w:sz="0" w:space="0" w:color="auto"/>
        <w:bottom w:val="none" w:sz="0" w:space="0" w:color="auto"/>
        <w:right w:val="none" w:sz="0" w:space="0" w:color="auto"/>
      </w:divBdr>
    </w:div>
    <w:div w:id="2046077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68221022">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77871776">
      <w:bodyDiv w:val="1"/>
      <w:marLeft w:val="0"/>
      <w:marRight w:val="0"/>
      <w:marTop w:val="0"/>
      <w:marBottom w:val="0"/>
      <w:divBdr>
        <w:top w:val="none" w:sz="0" w:space="0" w:color="auto"/>
        <w:left w:val="none" w:sz="0" w:space="0" w:color="auto"/>
        <w:bottom w:val="none" w:sz="0" w:space="0" w:color="auto"/>
        <w:right w:val="none" w:sz="0" w:space="0" w:color="auto"/>
      </w:divBdr>
    </w:div>
    <w:div w:id="109867249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3684223">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00515184">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64096890">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161070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1970</TotalTime>
  <Pages>3</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534</cp:revision>
  <dcterms:created xsi:type="dcterms:W3CDTF">2022-01-07T10:14:00Z</dcterms:created>
  <dcterms:modified xsi:type="dcterms:W3CDTF">2023-04-10T09:02:00Z</dcterms:modified>
</cp:coreProperties>
</file>